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2C" w:rsidRDefault="001A162C" w:rsidP="001A16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A162C" w:rsidRPr="00C1222B" w:rsidRDefault="001A162C" w:rsidP="001A16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Результаты государственной итоговой аттестации 2019 года</w:t>
      </w:r>
    </w:p>
    <w:p w:rsidR="001A162C" w:rsidRPr="00FC38D8" w:rsidRDefault="001A162C" w:rsidP="001A1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162C" w:rsidRPr="00F93F60" w:rsidRDefault="001A162C" w:rsidP="001A16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Итоговое сочинение как условие допуска к государственной итоговой аттестации по </w:t>
      </w: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образовательным программам среднего общего образования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было </w:t>
      </w: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проведено </w:t>
      </w:r>
      <w:r w:rsidRPr="00804B6A">
        <w:rPr>
          <w:rFonts w:ascii="Times New Roman" w:eastAsia="Times New Roman" w:hAnsi="Times New Roman" w:cs="Times New Roman"/>
          <w:sz w:val="25"/>
          <w:szCs w:val="25"/>
          <w:lang w:eastAsia="ru-RU"/>
        </w:rPr>
        <w:t>06.12.2018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 </w:t>
      </w: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результатам проверки все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36</w:t>
      </w: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обучающихся получили «зачет».</w:t>
      </w:r>
    </w:p>
    <w:p w:rsidR="001A162C" w:rsidRPr="0092583A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2583A">
        <w:rPr>
          <w:rFonts w:ascii="Times New Roman" w:hAnsi="Times New Roman" w:cs="Times New Roman"/>
          <w:color w:val="000000"/>
          <w:sz w:val="25"/>
          <w:szCs w:val="25"/>
        </w:rPr>
        <w:t>Основной период ГИА</w:t>
      </w:r>
      <w:r>
        <w:rPr>
          <w:rFonts w:ascii="Times New Roman" w:hAnsi="Times New Roman" w:cs="Times New Roman"/>
          <w:color w:val="000000"/>
          <w:sz w:val="25"/>
          <w:szCs w:val="25"/>
        </w:rPr>
        <w:t>-11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в 2019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г.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с учетом резервных дней 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проводился в период с </w:t>
      </w:r>
      <w:r w:rsidRPr="0079599F">
        <w:rPr>
          <w:rFonts w:ascii="Times New Roman" w:hAnsi="Times New Roman" w:cs="Times New Roman"/>
          <w:color w:val="000000"/>
          <w:sz w:val="25"/>
          <w:szCs w:val="25"/>
        </w:rPr>
        <w:t>27 мая по 1 июля 2019 г.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35 выпускников 11 классов МБОУ проходили ГИА в ППЭ, организованном на базе МБОУ СОШ № 20. </w:t>
      </w:r>
      <w:r w:rsidRPr="0092583A">
        <w:rPr>
          <w:rFonts w:ascii="Times New Roman" w:hAnsi="Times New Roman" w:cs="Times New Roman"/>
          <w:sz w:val="25"/>
          <w:szCs w:val="25"/>
        </w:rPr>
        <w:t>Все пункты проведения ЕГЭ (за исключением ППЭ на дому) работали по технологиям «Печать экзаменационных материалов в аудитории ППЭ» и «Сканирование в штабе ППЭ».</w:t>
      </w:r>
      <w:r>
        <w:rPr>
          <w:rFonts w:ascii="Times New Roman" w:hAnsi="Times New Roman" w:cs="Times New Roman"/>
          <w:sz w:val="25"/>
          <w:szCs w:val="25"/>
        </w:rPr>
        <w:t xml:space="preserve"> 1 выпускник проходил ГВЭ.</w:t>
      </w: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Табл.1</w:t>
      </w:r>
      <w:r w:rsidRPr="00804B6A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Результаты ЕГЭ выпускников 2019 года.</w:t>
      </w: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7"/>
        <w:gridCol w:w="2165"/>
        <w:gridCol w:w="1493"/>
        <w:gridCol w:w="1327"/>
        <w:gridCol w:w="1770"/>
        <w:gridCol w:w="1445"/>
        <w:gridCol w:w="1431"/>
      </w:tblGrid>
      <w:tr w:rsidR="001A162C" w:rsidRPr="0092583A" w:rsidTr="00421A85">
        <w:tc>
          <w:tcPr>
            <w:tcW w:w="50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1493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Всего участников,</w:t>
            </w:r>
          </w:p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 балл</w:t>
            </w:r>
          </w:p>
        </w:tc>
        <w:tc>
          <w:tcPr>
            <w:tcW w:w="1770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 преодолели минимального порога,</w:t>
            </w:r>
          </w:p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  <w:proofErr w:type="spellEnd"/>
          </w:p>
        </w:tc>
        <w:tc>
          <w:tcPr>
            <w:tcW w:w="1445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Набравших 80 баллов и более,</w:t>
            </w:r>
          </w:p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  <w:proofErr w:type="spellEnd"/>
          </w:p>
        </w:tc>
        <w:tc>
          <w:tcPr>
            <w:tcW w:w="1431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100-балльники,</w:t>
            </w:r>
          </w:p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  <w:proofErr w:type="spellEnd"/>
          </w:p>
        </w:tc>
      </w:tr>
      <w:tr w:rsidR="001A162C" w:rsidRPr="0092583A" w:rsidTr="00421A85">
        <w:tc>
          <w:tcPr>
            <w:tcW w:w="50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77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14/40%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 (профиль)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1/7,1%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5/26,3%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2/22,2%</w:t>
            </w:r>
          </w:p>
        </w:tc>
        <w:tc>
          <w:tcPr>
            <w:tcW w:w="2876" w:type="dxa"/>
            <w:gridSpan w:val="2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2/22,2%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1/11,1%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2/22,2%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3/33,3%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2/50%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16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2/50%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92583A" w:rsidTr="00421A85">
        <w:tc>
          <w:tcPr>
            <w:tcW w:w="507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165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Английский язык</w:t>
            </w:r>
          </w:p>
        </w:tc>
        <w:tc>
          <w:tcPr>
            <w:tcW w:w="1493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327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70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2/50%</w:t>
            </w:r>
          </w:p>
        </w:tc>
        <w:tc>
          <w:tcPr>
            <w:tcW w:w="1431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1A162C" w:rsidRPr="0092583A" w:rsidRDefault="001A162C" w:rsidP="001A162C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4"/>
        <w:gridCol w:w="1852"/>
        <w:gridCol w:w="1493"/>
        <w:gridCol w:w="1317"/>
        <w:gridCol w:w="1770"/>
        <w:gridCol w:w="1601"/>
        <w:gridCol w:w="1601"/>
      </w:tblGrid>
      <w:tr w:rsidR="001A162C" w:rsidRPr="0092583A" w:rsidTr="00421A85">
        <w:tc>
          <w:tcPr>
            <w:tcW w:w="534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268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1448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Всего участников,</w:t>
            </w:r>
          </w:p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448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Средняя отметка</w:t>
            </w:r>
          </w:p>
        </w:tc>
        <w:tc>
          <w:tcPr>
            <w:tcW w:w="1448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 преодолели минимального порога,</w:t>
            </w:r>
          </w:p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  <w:proofErr w:type="spellEnd"/>
          </w:p>
        </w:tc>
        <w:tc>
          <w:tcPr>
            <w:tcW w:w="144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Получивших отметки «3» и «4»,</w:t>
            </w:r>
          </w:p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  <w:proofErr w:type="spellEnd"/>
          </w:p>
        </w:tc>
        <w:tc>
          <w:tcPr>
            <w:tcW w:w="144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Получивших отметку «5»,</w:t>
            </w:r>
          </w:p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  <w:proofErr w:type="spellEnd"/>
          </w:p>
        </w:tc>
      </w:tr>
      <w:tr w:rsidR="001A162C" w:rsidRPr="0092583A" w:rsidTr="00421A85">
        <w:tc>
          <w:tcPr>
            <w:tcW w:w="534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 (база)</w:t>
            </w:r>
          </w:p>
        </w:tc>
        <w:tc>
          <w:tcPr>
            <w:tcW w:w="1448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1448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448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9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12/57,1%</w:t>
            </w:r>
          </w:p>
        </w:tc>
        <w:tc>
          <w:tcPr>
            <w:tcW w:w="1449" w:type="dxa"/>
          </w:tcPr>
          <w:p w:rsidR="001A162C" w:rsidRPr="0092583A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9/42,9%</w:t>
            </w:r>
          </w:p>
        </w:tc>
      </w:tr>
    </w:tbl>
    <w:p w:rsidR="001A162C" w:rsidRPr="00003F43" w:rsidRDefault="001A162C" w:rsidP="001A16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Табл.2</w:t>
      </w:r>
      <w:r w:rsidRPr="00206F2F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Обучающиеся, сдавшие ГИА на высокие баллы (80 и более) (ЕГЭ).</w:t>
      </w:r>
    </w:p>
    <w:p w:rsidR="001A162C" w:rsidRPr="00C1107F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43" w:type="dxa"/>
        <w:tblLook w:val="04A0"/>
      </w:tblPr>
      <w:tblGrid>
        <w:gridCol w:w="3085"/>
        <w:gridCol w:w="2422"/>
        <w:gridCol w:w="2268"/>
        <w:gridCol w:w="2268"/>
      </w:tblGrid>
      <w:tr w:rsidR="001A162C" w:rsidRPr="00857FFC" w:rsidTr="00421A85">
        <w:tc>
          <w:tcPr>
            <w:tcW w:w="3085" w:type="dxa"/>
            <w:vMerge w:val="restart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2422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2018 год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2019 год</w:t>
            </w:r>
          </w:p>
        </w:tc>
      </w:tr>
      <w:tr w:rsidR="001A162C" w:rsidRPr="00857FFC" w:rsidTr="00421A85">
        <w:tc>
          <w:tcPr>
            <w:tcW w:w="3085" w:type="dxa"/>
            <w:vMerge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22" w:type="dxa"/>
          </w:tcPr>
          <w:p w:rsidR="001A162C" w:rsidRPr="00C1107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107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C1107F">
              <w:rPr>
                <w:rFonts w:ascii="Times New Roman" w:hAnsi="Times New Roman" w:cs="Times New Roman"/>
              </w:rPr>
              <w:t>высокоб.%</w:t>
            </w:r>
            <w:proofErr w:type="spellEnd"/>
          </w:p>
        </w:tc>
        <w:tc>
          <w:tcPr>
            <w:tcW w:w="2268" w:type="dxa"/>
          </w:tcPr>
          <w:p w:rsidR="001A162C" w:rsidRPr="00C1107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107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C1107F">
              <w:rPr>
                <w:rFonts w:ascii="Times New Roman" w:hAnsi="Times New Roman" w:cs="Times New Roman"/>
              </w:rPr>
              <w:t>высокоб.%</w:t>
            </w:r>
            <w:proofErr w:type="spellEnd"/>
          </w:p>
        </w:tc>
        <w:tc>
          <w:tcPr>
            <w:tcW w:w="2268" w:type="dxa"/>
          </w:tcPr>
          <w:p w:rsidR="001A162C" w:rsidRPr="00C1107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107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C1107F">
              <w:rPr>
                <w:rFonts w:ascii="Times New Roman" w:hAnsi="Times New Roman" w:cs="Times New Roman"/>
              </w:rPr>
              <w:t>высокоб.%</w:t>
            </w:r>
            <w:proofErr w:type="spellEnd"/>
          </w:p>
        </w:tc>
      </w:tr>
      <w:tr w:rsidR="001A162C" w:rsidRPr="00857FFC" w:rsidTr="00421A85">
        <w:tc>
          <w:tcPr>
            <w:tcW w:w="3085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20%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24%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39%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Математика (профиль)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7,1%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50%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50%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Иностранный язык (англ.)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50%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  и ИКТ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50%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22%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22%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33%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Обществознание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8%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26%</w:t>
            </w:r>
          </w:p>
        </w:tc>
      </w:tr>
      <w:tr w:rsidR="001A162C" w:rsidRPr="00857FFC" w:rsidTr="00421A85">
        <w:tc>
          <w:tcPr>
            <w:tcW w:w="3085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24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1A162C" w:rsidRDefault="001A162C" w:rsidP="001A16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Вывод:</w:t>
      </w: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Доля </w:t>
      </w:r>
      <w:proofErr w:type="spellStart"/>
      <w:r>
        <w:rPr>
          <w:rFonts w:ascii="Times New Roman" w:hAnsi="Times New Roman" w:cs="Times New Roman"/>
          <w:sz w:val="25"/>
          <w:szCs w:val="25"/>
        </w:rPr>
        <w:t>высокобалльников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в сравнении с 2017, 2018 гг. по русскому языку, математике (профиль), литературе, иностранному языку, информатике, химии, биологии, истории, обществознанию. 2 выпускницы 2019 года сдали ЕГЭ по химии на 100 баллов. Пять выпускников 11 классов окончили школу с медалями «За особые успехи в обучении», подтвердив результатами ЕГЭ высокое качество полученного образования.</w:t>
      </w:r>
    </w:p>
    <w:p w:rsidR="001A162C" w:rsidRPr="00BF78E2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Табл.3</w:t>
      </w:r>
      <w:r w:rsidRPr="005650D0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Распределение предметов по выбору (ЕГЭ) в 2019 году.</w:t>
      </w:r>
    </w:p>
    <w:p w:rsidR="001A162C" w:rsidRPr="00003F43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6521" w:type="dxa"/>
        <w:tblInd w:w="3510" w:type="dxa"/>
        <w:tblLook w:val="04A0"/>
      </w:tblPr>
      <w:tblGrid>
        <w:gridCol w:w="3936"/>
        <w:gridCol w:w="2585"/>
      </w:tblGrid>
      <w:tr w:rsidR="001A162C" w:rsidRPr="00857FFC" w:rsidTr="00421A85">
        <w:tc>
          <w:tcPr>
            <w:tcW w:w="393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2585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Чел./%</w:t>
            </w:r>
          </w:p>
        </w:tc>
      </w:tr>
      <w:tr w:rsidR="001A162C" w:rsidRPr="00857FFC" w:rsidTr="00421A85">
        <w:tc>
          <w:tcPr>
            <w:tcW w:w="393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2585" w:type="dxa"/>
          </w:tcPr>
          <w:p w:rsidR="001A162C" w:rsidRPr="00857FF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4/11,4%</w:t>
            </w:r>
          </w:p>
        </w:tc>
      </w:tr>
      <w:tr w:rsidR="001A162C" w:rsidRPr="00857FFC" w:rsidTr="00421A85">
        <w:tc>
          <w:tcPr>
            <w:tcW w:w="393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Иностранный язык (англ.)</w:t>
            </w:r>
          </w:p>
        </w:tc>
        <w:tc>
          <w:tcPr>
            <w:tcW w:w="2585" w:type="dxa"/>
          </w:tcPr>
          <w:p w:rsidR="001A162C" w:rsidRPr="00857FF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4/11,4%</w:t>
            </w:r>
          </w:p>
        </w:tc>
      </w:tr>
      <w:tr w:rsidR="001A162C" w:rsidRPr="00857FFC" w:rsidTr="00421A85">
        <w:tc>
          <w:tcPr>
            <w:tcW w:w="393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 и ИКТ</w:t>
            </w:r>
          </w:p>
        </w:tc>
        <w:tc>
          <w:tcPr>
            <w:tcW w:w="2585" w:type="dxa"/>
          </w:tcPr>
          <w:p w:rsidR="001A162C" w:rsidRPr="00857FF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4/11,4%</w:t>
            </w:r>
          </w:p>
        </w:tc>
      </w:tr>
      <w:tr w:rsidR="001A162C" w:rsidRPr="00857FFC" w:rsidTr="00421A85">
        <w:tc>
          <w:tcPr>
            <w:tcW w:w="393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2585" w:type="dxa"/>
          </w:tcPr>
          <w:p w:rsidR="001A162C" w:rsidRPr="00857FF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2/5,7%</w:t>
            </w:r>
          </w:p>
        </w:tc>
      </w:tr>
      <w:tr w:rsidR="001A162C" w:rsidRPr="00857FFC" w:rsidTr="00421A85">
        <w:tc>
          <w:tcPr>
            <w:tcW w:w="393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2585" w:type="dxa"/>
          </w:tcPr>
          <w:p w:rsidR="001A162C" w:rsidRPr="00857FF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9/25,7%</w:t>
            </w:r>
          </w:p>
        </w:tc>
      </w:tr>
      <w:tr w:rsidR="001A162C" w:rsidRPr="00857FFC" w:rsidTr="00421A85">
        <w:tc>
          <w:tcPr>
            <w:tcW w:w="393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2585" w:type="dxa"/>
          </w:tcPr>
          <w:p w:rsidR="001A162C" w:rsidRPr="00857FF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9/25,7%</w:t>
            </w:r>
          </w:p>
        </w:tc>
      </w:tr>
      <w:tr w:rsidR="001A162C" w:rsidRPr="00857FFC" w:rsidTr="00421A85">
        <w:tc>
          <w:tcPr>
            <w:tcW w:w="393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</w:t>
            </w:r>
          </w:p>
        </w:tc>
        <w:tc>
          <w:tcPr>
            <w:tcW w:w="2585" w:type="dxa"/>
          </w:tcPr>
          <w:p w:rsidR="001A162C" w:rsidRPr="00857FF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9/25,7%</w:t>
            </w:r>
          </w:p>
        </w:tc>
      </w:tr>
      <w:tr w:rsidR="001A162C" w:rsidRPr="00857FFC" w:rsidTr="00421A85">
        <w:tc>
          <w:tcPr>
            <w:tcW w:w="393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2585" w:type="dxa"/>
          </w:tcPr>
          <w:p w:rsidR="001A162C" w:rsidRPr="00857FF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19/54,3%</w:t>
            </w:r>
          </w:p>
        </w:tc>
      </w:tr>
      <w:tr w:rsidR="001A162C" w:rsidRPr="00857FFC" w:rsidTr="00421A85">
        <w:tc>
          <w:tcPr>
            <w:tcW w:w="3936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2585" w:type="dxa"/>
          </w:tcPr>
          <w:p w:rsidR="001A162C" w:rsidRPr="00857FF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1A162C" w:rsidRPr="001A162C" w:rsidRDefault="001A162C" w:rsidP="001A16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1A162C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9F7200">
        <w:rPr>
          <w:rFonts w:ascii="Times New Roman" w:hAnsi="Times New Roman" w:cs="Times New Roman"/>
          <w:sz w:val="25"/>
          <w:szCs w:val="25"/>
        </w:rPr>
        <w:t>Диаграмма 1</w:t>
      </w:r>
      <w:r>
        <w:rPr>
          <w:rFonts w:ascii="Times New Roman" w:hAnsi="Times New Roman" w:cs="Times New Roman"/>
          <w:sz w:val="25"/>
          <w:szCs w:val="25"/>
        </w:rPr>
        <w:t>. Распределение участников ЕГЭ-2019 г. по тестовым баллам.</w:t>
      </w:r>
    </w:p>
    <w:p w:rsidR="001A162C" w:rsidRPr="0054327F" w:rsidRDefault="001A162C" w:rsidP="001A16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A162C" w:rsidTr="00421A85"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Математика (профильный уровень)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1A162C" w:rsidTr="00421A85"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1A162C" w:rsidTr="00421A85"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Биология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История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A162C" w:rsidTr="00421A85"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Физика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Английский язык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7200"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38325"/>
                  <wp:effectExtent l="0" t="0" r="0" b="0"/>
                  <wp:docPr id="14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1A162C" w:rsidTr="00421A85">
        <w:tc>
          <w:tcPr>
            <w:tcW w:w="5069" w:type="dxa"/>
          </w:tcPr>
          <w:p w:rsidR="001A162C" w:rsidRPr="00206F2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2583A">
        <w:rPr>
          <w:rFonts w:ascii="Times New Roman" w:hAnsi="Times New Roman" w:cs="Times New Roman"/>
          <w:color w:val="000000"/>
          <w:sz w:val="25"/>
          <w:szCs w:val="25"/>
        </w:rPr>
        <w:t>Основной период ГИА</w:t>
      </w:r>
      <w:r>
        <w:rPr>
          <w:rFonts w:ascii="Times New Roman" w:hAnsi="Times New Roman" w:cs="Times New Roman"/>
          <w:color w:val="000000"/>
          <w:sz w:val="25"/>
          <w:szCs w:val="25"/>
        </w:rPr>
        <w:t>-9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в 2019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г.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с учетом резервных дней 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проводился в период с </w:t>
      </w:r>
      <w:r w:rsidRPr="0079599F">
        <w:rPr>
          <w:rFonts w:ascii="Times New Roman" w:hAnsi="Times New Roman" w:cs="Times New Roman"/>
          <w:color w:val="000000"/>
          <w:sz w:val="25"/>
          <w:szCs w:val="25"/>
        </w:rPr>
        <w:t xml:space="preserve">24 мая по </w:t>
      </w:r>
      <w:r>
        <w:rPr>
          <w:rFonts w:ascii="Times New Roman" w:hAnsi="Times New Roman" w:cs="Times New Roman"/>
          <w:color w:val="000000"/>
          <w:sz w:val="25"/>
          <w:szCs w:val="25"/>
        </w:rPr>
        <w:t>2 июля</w:t>
      </w:r>
      <w:r w:rsidRPr="0079599F">
        <w:rPr>
          <w:rFonts w:ascii="Times New Roman" w:hAnsi="Times New Roman" w:cs="Times New Roman"/>
          <w:color w:val="000000"/>
          <w:sz w:val="25"/>
          <w:szCs w:val="25"/>
        </w:rPr>
        <w:t xml:space="preserve"> 2019 г.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2019 году в системе промежуточной аттестации 9-класников появилась новая форма – итоговое собеседование по русскому языку, результаты которого влияли на допуск выпускников к государственной итоговой аттестации. Итоговое собеседование проходили 13 февраля 2019 года по системе «зачёт – незачёт». По результатам итогового собеседования все 9-классники были допущены к государственной итоговой аттестации.</w:t>
      </w: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В 2019 году в ГИА-9 приняли участие  94 выпускника 9 классов МБОУ, из </w:t>
      </w:r>
      <w:r w:rsidRPr="00E97407">
        <w:rPr>
          <w:rFonts w:ascii="Times New Roman" w:hAnsi="Times New Roman" w:cs="Times New Roman"/>
          <w:color w:val="000000"/>
          <w:sz w:val="25"/>
          <w:szCs w:val="25"/>
        </w:rPr>
        <w:t>них 3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человека проходили ГИА в форме ГВЭ в соответствии с рекомендациями ТОПМПК. </w:t>
      </w:r>
    </w:p>
    <w:p w:rsidR="001A162C" w:rsidRPr="00AC03D0" w:rsidRDefault="001A162C" w:rsidP="001A16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E97407">
        <w:rPr>
          <w:rFonts w:ascii="Times New Roman" w:hAnsi="Times New Roman" w:cs="Times New Roman"/>
          <w:sz w:val="25"/>
          <w:szCs w:val="25"/>
        </w:rPr>
        <w:lastRenderedPageBreak/>
        <w:t>Табл.</w:t>
      </w:r>
      <w:r>
        <w:rPr>
          <w:rFonts w:ascii="Times New Roman" w:hAnsi="Times New Roman" w:cs="Times New Roman"/>
          <w:sz w:val="25"/>
          <w:szCs w:val="25"/>
        </w:rPr>
        <w:t>4. Результаты ГИА-9 по математике (ОГЭ).</w:t>
      </w:r>
    </w:p>
    <w:p w:rsidR="001A162C" w:rsidRPr="00857FFC" w:rsidRDefault="001A162C" w:rsidP="001A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12"/>
        <w:gridCol w:w="1681"/>
        <w:gridCol w:w="1681"/>
        <w:gridCol w:w="1316"/>
        <w:gridCol w:w="1316"/>
        <w:gridCol w:w="1316"/>
        <w:gridCol w:w="1316"/>
      </w:tblGrid>
      <w:tr w:rsidR="001A162C" w:rsidRPr="00857FFC" w:rsidTr="00421A85">
        <w:tc>
          <w:tcPr>
            <w:tcW w:w="151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168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успешно сдавших ОГЭ,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  <w:proofErr w:type="spellEnd"/>
          </w:p>
        </w:tc>
        <w:tc>
          <w:tcPr>
            <w:tcW w:w="1681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Средний </w:t>
            </w:r>
          </w:p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«2»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«3»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«4»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«5»</w:t>
            </w:r>
          </w:p>
        </w:tc>
      </w:tr>
      <w:tr w:rsidR="001A162C" w:rsidRPr="00857FFC" w:rsidTr="00421A85">
        <w:tc>
          <w:tcPr>
            <w:tcW w:w="151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68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84/91%</w:t>
            </w:r>
          </w:p>
        </w:tc>
        <w:tc>
          <w:tcPr>
            <w:tcW w:w="168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7/9%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36/39%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35/38%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13/14%</w:t>
            </w:r>
          </w:p>
        </w:tc>
      </w:tr>
    </w:tbl>
    <w:p w:rsidR="001A162C" w:rsidRDefault="001A162C" w:rsidP="001A16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5"/>
          <w:szCs w:val="25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4B5514">
        <w:rPr>
          <w:rFonts w:ascii="Times New Roman" w:hAnsi="Times New Roman" w:cs="Times New Roman"/>
          <w:sz w:val="25"/>
          <w:szCs w:val="25"/>
        </w:rPr>
        <w:t>Табл.</w:t>
      </w:r>
      <w:r>
        <w:rPr>
          <w:rFonts w:ascii="Times New Roman" w:hAnsi="Times New Roman" w:cs="Times New Roman"/>
          <w:sz w:val="25"/>
          <w:szCs w:val="25"/>
        </w:rPr>
        <w:t>5. Результаты ГИА-9 по русскому языку (ОГЭ).</w:t>
      </w:r>
    </w:p>
    <w:p w:rsidR="001A162C" w:rsidRPr="00857FFC" w:rsidRDefault="001A162C" w:rsidP="001A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12"/>
        <w:gridCol w:w="1681"/>
        <w:gridCol w:w="1681"/>
        <w:gridCol w:w="1316"/>
        <w:gridCol w:w="1316"/>
        <w:gridCol w:w="1316"/>
        <w:gridCol w:w="1316"/>
      </w:tblGrid>
      <w:tr w:rsidR="001A162C" w:rsidRPr="00857FFC" w:rsidTr="00421A85">
        <w:tc>
          <w:tcPr>
            <w:tcW w:w="151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168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успешно сдавших ОГЭ,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  <w:proofErr w:type="spellEnd"/>
          </w:p>
        </w:tc>
        <w:tc>
          <w:tcPr>
            <w:tcW w:w="1681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Средний </w:t>
            </w:r>
          </w:p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«2»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«3»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«4»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«5»</w:t>
            </w:r>
          </w:p>
        </w:tc>
      </w:tr>
      <w:tr w:rsidR="001A162C" w:rsidRPr="00857FFC" w:rsidTr="00421A85">
        <w:tc>
          <w:tcPr>
            <w:tcW w:w="151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68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91/100%</w:t>
            </w:r>
          </w:p>
        </w:tc>
        <w:tc>
          <w:tcPr>
            <w:tcW w:w="168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20/22%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37/41%</w:t>
            </w:r>
          </w:p>
        </w:tc>
        <w:tc>
          <w:tcPr>
            <w:tcW w:w="131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34/37%</w:t>
            </w:r>
          </w:p>
        </w:tc>
      </w:tr>
    </w:tbl>
    <w:p w:rsidR="001A162C" w:rsidRPr="00556E4B" w:rsidRDefault="001A162C" w:rsidP="001A16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A8485E">
        <w:rPr>
          <w:rFonts w:ascii="Times New Roman" w:hAnsi="Times New Roman" w:cs="Times New Roman"/>
          <w:sz w:val="25"/>
          <w:szCs w:val="25"/>
        </w:rPr>
        <w:t>Табл.</w:t>
      </w:r>
      <w:r>
        <w:rPr>
          <w:rFonts w:ascii="Times New Roman" w:hAnsi="Times New Roman" w:cs="Times New Roman"/>
          <w:sz w:val="25"/>
          <w:szCs w:val="25"/>
        </w:rPr>
        <w:t>6. Результаты ГИА-9 по предметам по выбору (ОГЭ) в 2019 году.</w:t>
      </w:r>
    </w:p>
    <w:p w:rsidR="001A162C" w:rsidRPr="00857FFC" w:rsidRDefault="001A162C" w:rsidP="001A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618"/>
        <w:gridCol w:w="1586"/>
        <w:gridCol w:w="1261"/>
        <w:gridCol w:w="1307"/>
        <w:gridCol w:w="1122"/>
        <w:gridCol w:w="1122"/>
        <w:gridCol w:w="1122"/>
      </w:tblGrid>
      <w:tr w:rsidR="001A162C" w:rsidRPr="00857FFC" w:rsidTr="00421A85">
        <w:tc>
          <w:tcPr>
            <w:tcW w:w="261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158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успешно сдавших ОГЭ,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  <w:proofErr w:type="spellEnd"/>
          </w:p>
        </w:tc>
        <w:tc>
          <w:tcPr>
            <w:tcW w:w="1261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Средний </w:t>
            </w:r>
          </w:p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</w:p>
        </w:tc>
        <w:tc>
          <w:tcPr>
            <w:tcW w:w="1307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«2»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«3»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«4»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«5»</w:t>
            </w:r>
          </w:p>
        </w:tc>
      </w:tr>
      <w:tr w:rsidR="001A162C" w:rsidRPr="00857FFC" w:rsidTr="00421A85">
        <w:tc>
          <w:tcPr>
            <w:tcW w:w="261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158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1/100%</w:t>
            </w:r>
          </w:p>
        </w:tc>
        <w:tc>
          <w:tcPr>
            <w:tcW w:w="126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1307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1/100%</w:t>
            </w:r>
          </w:p>
        </w:tc>
      </w:tr>
      <w:tr w:rsidR="001A162C" w:rsidRPr="00857FFC" w:rsidTr="00421A85">
        <w:tc>
          <w:tcPr>
            <w:tcW w:w="261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Иностранный язык</w:t>
            </w:r>
          </w:p>
        </w:tc>
        <w:tc>
          <w:tcPr>
            <w:tcW w:w="158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3/100%</w:t>
            </w:r>
          </w:p>
        </w:tc>
        <w:tc>
          <w:tcPr>
            <w:tcW w:w="126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07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3/100%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A162C" w:rsidRPr="00857FFC" w:rsidTr="00421A85">
        <w:tc>
          <w:tcPr>
            <w:tcW w:w="261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 и ИКТ</w:t>
            </w:r>
          </w:p>
        </w:tc>
        <w:tc>
          <w:tcPr>
            <w:tcW w:w="158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58/97%</w:t>
            </w:r>
          </w:p>
        </w:tc>
        <w:tc>
          <w:tcPr>
            <w:tcW w:w="126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1307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2/3%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28/47%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24/40%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6/10%</w:t>
            </w:r>
          </w:p>
        </w:tc>
      </w:tr>
      <w:tr w:rsidR="001A162C" w:rsidRPr="00857FFC" w:rsidTr="00421A85">
        <w:tc>
          <w:tcPr>
            <w:tcW w:w="261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158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7/100%</w:t>
            </w:r>
          </w:p>
        </w:tc>
        <w:tc>
          <w:tcPr>
            <w:tcW w:w="126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07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3/43%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4/57%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A162C" w:rsidRPr="00857FFC" w:rsidTr="00421A85">
        <w:tc>
          <w:tcPr>
            <w:tcW w:w="261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158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6/86%</w:t>
            </w:r>
          </w:p>
        </w:tc>
        <w:tc>
          <w:tcPr>
            <w:tcW w:w="126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1307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1/14%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3/43%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3/43%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A162C" w:rsidRPr="00857FFC" w:rsidTr="00421A85">
        <w:tc>
          <w:tcPr>
            <w:tcW w:w="261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158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22/92%</w:t>
            </w:r>
          </w:p>
        </w:tc>
        <w:tc>
          <w:tcPr>
            <w:tcW w:w="126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1307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2/8%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13/54%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9/38%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A162C" w:rsidRPr="00857FFC" w:rsidTr="00421A85">
        <w:tc>
          <w:tcPr>
            <w:tcW w:w="2618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158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33/97%</w:t>
            </w:r>
          </w:p>
        </w:tc>
        <w:tc>
          <w:tcPr>
            <w:tcW w:w="126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07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1/3%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13/38%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19/56%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1/3%</w:t>
            </w:r>
          </w:p>
        </w:tc>
      </w:tr>
      <w:tr w:rsidR="001A162C" w:rsidRPr="00857FFC" w:rsidTr="00421A85">
        <w:tc>
          <w:tcPr>
            <w:tcW w:w="2618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1586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43/93%</w:t>
            </w:r>
          </w:p>
        </w:tc>
        <w:tc>
          <w:tcPr>
            <w:tcW w:w="1261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07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3/7%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13/28%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24/52%</w:t>
            </w:r>
          </w:p>
        </w:tc>
        <w:tc>
          <w:tcPr>
            <w:tcW w:w="1122" w:type="dxa"/>
          </w:tcPr>
          <w:p w:rsidR="001A162C" w:rsidRPr="00857FF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6/13%</w:t>
            </w:r>
          </w:p>
        </w:tc>
      </w:tr>
    </w:tbl>
    <w:p w:rsidR="001A162C" w:rsidRDefault="001A162C" w:rsidP="001A16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1A162C" w:rsidRPr="004A6D97" w:rsidRDefault="001A162C" w:rsidP="001A16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8C5E11">
        <w:rPr>
          <w:rFonts w:ascii="Times New Roman" w:hAnsi="Times New Roman" w:cs="Times New Roman"/>
          <w:sz w:val="25"/>
          <w:szCs w:val="25"/>
        </w:rPr>
        <w:t>Диаграмма 2.</w:t>
      </w:r>
      <w:r>
        <w:rPr>
          <w:rFonts w:ascii="Times New Roman" w:hAnsi="Times New Roman" w:cs="Times New Roman"/>
          <w:sz w:val="25"/>
          <w:szCs w:val="25"/>
        </w:rPr>
        <w:t xml:space="preserve"> Распределение участников ОГЭ-2019 г. по отметкам.</w:t>
      </w:r>
    </w:p>
    <w:p w:rsidR="001A162C" w:rsidRPr="0054327F" w:rsidRDefault="001A162C" w:rsidP="001A16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A162C" w:rsidTr="00421A85"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  <w:p w:rsidR="001A162C" w:rsidRPr="0079599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2019300"/>
                  <wp:effectExtent l="1905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Математика </w:t>
            </w:r>
          </w:p>
          <w:p w:rsidR="001A162C" w:rsidRPr="0079599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2019300"/>
                  <wp:effectExtent l="19050" t="0" r="9525" b="0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1A162C" w:rsidTr="00421A85"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Обществознание</w:t>
            </w:r>
          </w:p>
          <w:p w:rsidR="001A162C" w:rsidRPr="0079599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924050"/>
                  <wp:effectExtent l="19050" t="0" r="9525" b="0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Химия</w:t>
            </w:r>
          </w:p>
          <w:p w:rsidR="001A162C" w:rsidRPr="0079599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971675"/>
                  <wp:effectExtent l="19050" t="0" r="9525" b="0"/>
                  <wp:docPr id="27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1A162C" w:rsidTr="00421A85"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  <w:p w:rsidR="001A162C" w:rsidRPr="0079599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24025"/>
                  <wp:effectExtent l="19050" t="0" r="9525" b="0"/>
                  <wp:docPr id="28" name="Диаграмма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</w:t>
            </w:r>
          </w:p>
          <w:p w:rsidR="001A162C" w:rsidRPr="0079599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5E11"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04975"/>
                  <wp:effectExtent l="19050" t="0" r="9525" b="0"/>
                  <wp:docPr id="15" name="Диаграмма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1A162C" w:rsidTr="00421A85">
        <w:tc>
          <w:tcPr>
            <w:tcW w:w="5069" w:type="dxa"/>
          </w:tcPr>
          <w:p w:rsidR="001A162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  <w:p w:rsidR="001A162C" w:rsidRPr="0079599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04975"/>
                  <wp:effectExtent l="19050" t="0" r="9525" b="0"/>
                  <wp:docPr id="30" name="Диаграмма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1A162C" w:rsidRPr="00BF5164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  <w:p w:rsidR="001A162C" w:rsidRPr="0079599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962150"/>
                  <wp:effectExtent l="19050" t="0" r="9525" b="0"/>
                  <wp:docPr id="32" name="Диаграмма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A162C" w:rsidRDefault="001A162C" w:rsidP="001A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Иностранный язык (английский)</w:t>
            </w:r>
          </w:p>
          <w:p w:rsidR="001A162C" w:rsidRPr="0079599F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33550"/>
                  <wp:effectExtent l="19050" t="0" r="9525" b="0"/>
                  <wp:docPr id="33" name="Диаграмма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1A162C" w:rsidRPr="00BF5164" w:rsidRDefault="001A162C" w:rsidP="0042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Default="001A162C" w:rsidP="00421A8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  <w:p w:rsidR="001A162C" w:rsidRPr="008C5E11" w:rsidRDefault="001A162C" w:rsidP="00421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162C" w:rsidRPr="008C5E11" w:rsidRDefault="001A162C" w:rsidP="00421A8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5E11"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933575"/>
                  <wp:effectExtent l="19050" t="0" r="9525" b="0"/>
                  <wp:docPr id="16" name="Диаграмма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lastRenderedPageBreak/>
        <w:t>Выводы:</w:t>
      </w: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Нарушений Порядка проведения ГИА со стороны выпускников 9,11 классов МБОУ в 2019 году не зафиксировано. Рекламаций о нарушениях в адрес МБОУ за период государственной итоговой аттестации не поступило.</w:t>
      </w: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proofErr w:type="gramStart"/>
      <w:r>
        <w:rPr>
          <w:rFonts w:ascii="Times New Roman" w:hAnsi="Times New Roman" w:cs="Times New Roman"/>
          <w:iCs/>
          <w:sz w:val="25"/>
          <w:szCs w:val="25"/>
        </w:rPr>
        <w:t>Н</w:t>
      </w:r>
      <w:r w:rsidRPr="00DD21B3">
        <w:rPr>
          <w:rFonts w:ascii="Times New Roman" w:hAnsi="Times New Roman" w:cs="Times New Roman"/>
          <w:iCs/>
          <w:sz w:val="25"/>
          <w:szCs w:val="25"/>
        </w:rPr>
        <w:t>аиболее значимые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DD21B3">
        <w:rPr>
          <w:rFonts w:ascii="Times New Roman" w:hAnsi="Times New Roman" w:cs="Times New Roman"/>
          <w:iCs/>
          <w:sz w:val="25"/>
          <w:szCs w:val="25"/>
        </w:rPr>
        <w:t>недостат</w:t>
      </w:r>
      <w:r>
        <w:rPr>
          <w:rFonts w:ascii="Times New Roman" w:hAnsi="Times New Roman" w:cs="Times New Roman"/>
          <w:iCs/>
          <w:sz w:val="25"/>
          <w:szCs w:val="25"/>
        </w:rPr>
        <w:t xml:space="preserve">ки в образовательной подготовке </w:t>
      </w:r>
      <w:r w:rsidRPr="00DD21B3">
        <w:rPr>
          <w:rFonts w:ascii="Times New Roman" w:hAnsi="Times New Roman" w:cs="Times New Roman"/>
          <w:iCs/>
          <w:sz w:val="25"/>
          <w:szCs w:val="25"/>
        </w:rPr>
        <w:t xml:space="preserve">обучающихся, </w:t>
      </w:r>
      <w:r>
        <w:rPr>
          <w:rFonts w:ascii="Times New Roman" w:hAnsi="Times New Roman" w:cs="Times New Roman"/>
          <w:iCs/>
          <w:sz w:val="25"/>
          <w:szCs w:val="25"/>
        </w:rPr>
        <w:t xml:space="preserve">показанные на ЕГЭ, нуждаются в серьёзном анализе и компенсации? </w:t>
      </w:r>
      <w:proofErr w:type="gramEnd"/>
    </w:p>
    <w:p w:rsidR="001A162C" w:rsidRPr="00E2768B" w:rsidRDefault="001A162C" w:rsidP="001A16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2768B">
        <w:rPr>
          <w:rFonts w:ascii="Times New Roman" w:hAnsi="Times New Roman" w:cs="Times New Roman"/>
          <w:iCs/>
          <w:sz w:val="25"/>
          <w:szCs w:val="25"/>
        </w:rPr>
        <w:t>1) Необходим тщательный анализ выполнения экзаменационных работ п</w:t>
      </w:r>
      <w:r>
        <w:rPr>
          <w:rFonts w:ascii="Times New Roman" w:hAnsi="Times New Roman" w:cs="Times New Roman"/>
          <w:iCs/>
          <w:sz w:val="25"/>
          <w:szCs w:val="25"/>
        </w:rPr>
        <w:t>о</w:t>
      </w:r>
      <w:r w:rsidRPr="00E2768B">
        <w:rPr>
          <w:rFonts w:ascii="Times New Roman" w:hAnsi="Times New Roman" w:cs="Times New Roman"/>
          <w:iCs/>
          <w:sz w:val="25"/>
          <w:szCs w:val="25"/>
        </w:rPr>
        <w:t xml:space="preserve"> всем учебным предметам</w:t>
      </w:r>
      <w:r w:rsidRPr="00E2768B">
        <w:rPr>
          <w:rFonts w:ascii="Times New Roman" w:hAnsi="Times New Roman" w:cs="Times New Roman"/>
          <w:sz w:val="25"/>
          <w:szCs w:val="25"/>
        </w:rPr>
        <w:t xml:space="preserve"> с учётом различного уровня образовательной подготовки выпускников. Такой анализ имеет для учителя</w:t>
      </w:r>
      <w:r>
        <w:rPr>
          <w:rFonts w:ascii="Times New Roman" w:hAnsi="Times New Roman" w:cs="Times New Roman"/>
          <w:sz w:val="25"/>
          <w:szCs w:val="25"/>
        </w:rPr>
        <w:t xml:space="preserve"> (для ШМО)</w:t>
      </w:r>
      <w:r w:rsidRPr="00E2768B">
        <w:rPr>
          <w:rFonts w:ascii="Times New Roman" w:hAnsi="Times New Roman" w:cs="Times New Roman"/>
          <w:sz w:val="25"/>
          <w:szCs w:val="25"/>
        </w:rPr>
        <w:t xml:space="preserve"> перспективный характер и в значительной мере позволяет наметить возможные подходы к дифференцированному обучению, а именно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E2768B">
        <w:rPr>
          <w:rFonts w:ascii="Times New Roman" w:hAnsi="Times New Roman" w:cs="Times New Roman"/>
          <w:sz w:val="25"/>
          <w:szCs w:val="25"/>
        </w:rPr>
        <w:t xml:space="preserve"> вовремя скорректировать деятельность учителя и учащихся, быстро установить и устранить пробелы в знаниях школьников.</w:t>
      </w:r>
    </w:p>
    <w:p w:rsidR="001A162C" w:rsidRDefault="001A162C" w:rsidP="001A16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2768B">
        <w:rPr>
          <w:rFonts w:ascii="Times New Roman" w:hAnsi="Times New Roman" w:cs="Times New Roman"/>
          <w:sz w:val="25"/>
          <w:szCs w:val="25"/>
        </w:rPr>
        <w:t xml:space="preserve">2) </w:t>
      </w:r>
      <w:r>
        <w:rPr>
          <w:rFonts w:ascii="Times New Roman" w:hAnsi="Times New Roman" w:cs="Times New Roman"/>
          <w:sz w:val="25"/>
          <w:szCs w:val="25"/>
        </w:rPr>
        <w:t>Стати</w:t>
      </w:r>
      <w:r w:rsidRPr="00E2768B">
        <w:rPr>
          <w:rFonts w:ascii="Times New Roman" w:hAnsi="Times New Roman" w:cs="Times New Roman"/>
          <w:sz w:val="25"/>
          <w:szCs w:val="25"/>
        </w:rPr>
        <w:t>стика выполнения отдельных экзаменационных заданий и экзаменационной работы в целом убеждае</w:t>
      </w:r>
      <w:r>
        <w:rPr>
          <w:rFonts w:ascii="Times New Roman" w:hAnsi="Times New Roman" w:cs="Times New Roman"/>
          <w:sz w:val="25"/>
          <w:szCs w:val="25"/>
        </w:rPr>
        <w:t>т в необходимо</w:t>
      </w:r>
      <w:r w:rsidRPr="00E2768B">
        <w:rPr>
          <w:rFonts w:ascii="Times New Roman" w:hAnsi="Times New Roman" w:cs="Times New Roman"/>
          <w:sz w:val="25"/>
          <w:szCs w:val="25"/>
        </w:rPr>
        <w:t xml:space="preserve">сти обратить внимание </w:t>
      </w:r>
      <w:r>
        <w:rPr>
          <w:rFonts w:ascii="Times New Roman" w:hAnsi="Times New Roman" w:cs="Times New Roman"/>
          <w:sz w:val="25"/>
          <w:szCs w:val="25"/>
        </w:rPr>
        <w:t>на устранение некоторых дефици</w:t>
      </w:r>
      <w:r w:rsidRPr="00E2768B">
        <w:rPr>
          <w:rFonts w:ascii="Times New Roman" w:hAnsi="Times New Roman" w:cs="Times New Roman"/>
          <w:sz w:val="25"/>
          <w:szCs w:val="25"/>
        </w:rPr>
        <w:t>тов в подготовке выпускников.</w:t>
      </w:r>
      <w:r>
        <w:rPr>
          <w:rFonts w:ascii="Times New Roman" w:hAnsi="Times New Roman" w:cs="Times New Roman"/>
          <w:sz w:val="25"/>
          <w:szCs w:val="25"/>
        </w:rPr>
        <w:t xml:space="preserve"> Подробные рекомендации по итогам ЕГЭ-2019 г. получены каждым ШМО на основе методических рекомендаций для учителей, подготовленных на основе анализа типичных ошибок участников ЕГЭ 2019 года, опубликованных в журнале ФИПИ Педагогические измерения №№ 3,4 за 2019 год.</w:t>
      </w:r>
    </w:p>
    <w:p w:rsidR="001A162C" w:rsidRDefault="001A162C" w:rsidP="001A16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отчёте администрацией ставятся следующие </w:t>
      </w:r>
      <w:r w:rsidRPr="0064239B">
        <w:rPr>
          <w:rFonts w:ascii="Times New Roman" w:hAnsi="Times New Roman" w:cs="Times New Roman"/>
          <w:i/>
          <w:sz w:val="25"/>
          <w:szCs w:val="25"/>
        </w:rPr>
        <w:t>общие стратегические задачи по компенсации недостатков в подготовке к ЕГЭ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1A162C" w:rsidRDefault="001A162C" w:rsidP="001A16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314BFC">
        <w:rPr>
          <w:rFonts w:ascii="Times New Roman" w:hAnsi="Times New Roman" w:cs="Times New Roman"/>
          <w:sz w:val="25"/>
          <w:szCs w:val="25"/>
        </w:rPr>
        <w:t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работы. Поэтому для подготовки к ЕГЭ</w:t>
      </w:r>
      <w:r>
        <w:rPr>
          <w:rFonts w:ascii="Times New Roman" w:hAnsi="Times New Roman" w:cs="Times New Roman"/>
          <w:sz w:val="25"/>
          <w:szCs w:val="25"/>
        </w:rPr>
        <w:t xml:space="preserve"> (ОГЭ)</w:t>
      </w:r>
      <w:r w:rsidRPr="00314BFC">
        <w:rPr>
          <w:rFonts w:ascii="Times New Roman" w:hAnsi="Times New Roman" w:cs="Times New Roman"/>
          <w:sz w:val="25"/>
          <w:szCs w:val="25"/>
        </w:rPr>
        <w:t xml:space="preserve"> в школе должна быть разработана комплексная программа, учитывающая все аспекты этой работы.</w:t>
      </w:r>
    </w:p>
    <w:p w:rsidR="001A162C" w:rsidRPr="00314BFC" w:rsidRDefault="001A162C" w:rsidP="001A16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314BFC">
        <w:rPr>
          <w:rFonts w:ascii="Times New Roman" w:hAnsi="Times New Roman" w:cs="Times New Roman"/>
          <w:sz w:val="25"/>
          <w:szCs w:val="25"/>
        </w:rPr>
        <w:t xml:space="preserve">Для успешной подготовки обучающихся к сдаче ГИА </w:t>
      </w:r>
      <w:r>
        <w:rPr>
          <w:rFonts w:ascii="Times New Roman" w:hAnsi="Times New Roman" w:cs="Times New Roman"/>
          <w:sz w:val="25"/>
          <w:szCs w:val="25"/>
        </w:rPr>
        <w:t>учитель</w:t>
      </w:r>
      <w:r w:rsidRPr="00314BFC">
        <w:rPr>
          <w:rFonts w:ascii="Times New Roman" w:hAnsi="Times New Roman" w:cs="Times New Roman"/>
          <w:sz w:val="25"/>
          <w:szCs w:val="25"/>
        </w:rPr>
        <w:t xml:space="preserve"> должен</w:t>
      </w:r>
      <w:r>
        <w:rPr>
          <w:rFonts w:ascii="Times New Roman" w:hAnsi="Times New Roman" w:cs="Times New Roman"/>
          <w:sz w:val="25"/>
          <w:szCs w:val="25"/>
        </w:rPr>
        <w:t xml:space="preserve"> объективно</w:t>
      </w:r>
      <w:r w:rsidRPr="00314BFC">
        <w:rPr>
          <w:rFonts w:ascii="Times New Roman" w:hAnsi="Times New Roman" w:cs="Times New Roman"/>
          <w:sz w:val="25"/>
          <w:szCs w:val="25"/>
        </w:rPr>
        <w:t xml:space="preserve"> оценивать в течение всего учебного периода знания, умения и навыки обучающихся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>в соответствии с их индивидуальными особенностями и возможностями;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>исключить «натаскивание» старшеклассников на выполнение заданий различного уровня сложности;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 xml:space="preserve">организовать системную продуманную работу в течение всех лет </w:t>
      </w:r>
      <w:proofErr w:type="gramStart"/>
      <w:r w:rsidRPr="00314BFC">
        <w:rPr>
          <w:rFonts w:ascii="Times New Roman" w:hAnsi="Times New Roman" w:cs="Times New Roman"/>
          <w:sz w:val="25"/>
          <w:szCs w:val="25"/>
        </w:rPr>
        <w:t>обучения по предмету</w:t>
      </w:r>
      <w:proofErr w:type="gramEnd"/>
      <w:r w:rsidRPr="00314BFC">
        <w:rPr>
          <w:rFonts w:ascii="Times New Roman" w:hAnsi="Times New Roman" w:cs="Times New Roman"/>
          <w:sz w:val="25"/>
          <w:szCs w:val="25"/>
        </w:rPr>
        <w:t>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 xml:space="preserve">проанализировать результаты </w:t>
      </w:r>
      <w:r>
        <w:rPr>
          <w:rFonts w:ascii="Times New Roman" w:hAnsi="Times New Roman" w:cs="Times New Roman"/>
          <w:sz w:val="25"/>
          <w:szCs w:val="25"/>
        </w:rPr>
        <w:t>ВПР, тренировочных работ и</w:t>
      </w:r>
      <w:r w:rsidRPr="00314BFC">
        <w:rPr>
          <w:rFonts w:ascii="Times New Roman" w:hAnsi="Times New Roman" w:cs="Times New Roman"/>
          <w:sz w:val="25"/>
          <w:szCs w:val="25"/>
        </w:rPr>
        <w:t xml:space="preserve"> пробного тестирования;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>планировать работу по подготовке обучающихся к сдаче ГИА в процессе преподавания предмета.</w:t>
      </w:r>
    </w:p>
    <w:p w:rsidR="001A162C" w:rsidRDefault="001A162C" w:rsidP="001A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55E4">
        <w:rPr>
          <w:rFonts w:ascii="Times New Roman" w:hAnsi="Times New Roman" w:cs="Times New Roman"/>
          <w:sz w:val="25"/>
          <w:szCs w:val="25"/>
        </w:rPr>
        <w:t xml:space="preserve">3) </w:t>
      </w:r>
      <w:r>
        <w:rPr>
          <w:rFonts w:ascii="Times New Roman" w:hAnsi="Times New Roman" w:cs="Times New Roman"/>
          <w:sz w:val="25"/>
          <w:szCs w:val="25"/>
        </w:rPr>
        <w:t>Необходимы серьёзные и</w:t>
      </w:r>
      <w:r w:rsidRPr="00F955E4">
        <w:rPr>
          <w:rFonts w:ascii="Times New Roman" w:hAnsi="Times New Roman" w:cs="Times New Roman"/>
          <w:sz w:val="25"/>
          <w:szCs w:val="25"/>
        </w:rPr>
        <w:t>зменения в фонде оценочных сре</w:t>
      </w:r>
      <w:proofErr w:type="gramStart"/>
      <w:r w:rsidRPr="00F955E4">
        <w:rPr>
          <w:rFonts w:ascii="Times New Roman" w:hAnsi="Times New Roman" w:cs="Times New Roman"/>
          <w:sz w:val="25"/>
          <w:szCs w:val="25"/>
        </w:rPr>
        <w:t>дств дл</w:t>
      </w:r>
      <w:proofErr w:type="gramEnd"/>
      <w:r w:rsidRPr="00F955E4">
        <w:rPr>
          <w:rFonts w:ascii="Times New Roman" w:hAnsi="Times New Roman" w:cs="Times New Roman"/>
          <w:sz w:val="25"/>
          <w:szCs w:val="25"/>
        </w:rPr>
        <w:t xml:space="preserve">я осуществления текущего контроля успеваемости обучающихся. Фонд необходимо обновить с учетом тех изменений, которые вносились в структуру </w:t>
      </w:r>
      <w:proofErr w:type="spellStart"/>
      <w:r w:rsidRPr="00F955E4">
        <w:rPr>
          <w:rFonts w:ascii="Times New Roman" w:hAnsi="Times New Roman" w:cs="Times New Roman"/>
          <w:sz w:val="25"/>
          <w:szCs w:val="25"/>
        </w:rPr>
        <w:t>ким</w:t>
      </w:r>
      <w:proofErr w:type="spellEnd"/>
      <w:r w:rsidRPr="00F955E4">
        <w:rPr>
          <w:rFonts w:ascii="Times New Roman" w:hAnsi="Times New Roman" w:cs="Times New Roman"/>
          <w:sz w:val="25"/>
          <w:szCs w:val="25"/>
        </w:rPr>
        <w:t xml:space="preserve"> ЕГЭ (ОГЭ) за последние два-три года. </w:t>
      </w:r>
      <w:proofErr w:type="gramStart"/>
      <w:r w:rsidRPr="00F955E4">
        <w:rPr>
          <w:rFonts w:ascii="Times New Roman" w:hAnsi="Times New Roman" w:cs="Times New Roman"/>
          <w:sz w:val="25"/>
          <w:szCs w:val="25"/>
        </w:rPr>
        <w:t xml:space="preserve">Например, оценочные средства по обществознанию должны включать задания – задачи, требующие анализа представленной информации; объяснения связи социальных объектов, процессов; формулирования и аргументации самостоятельных оценочных, прогностических и иных суждений, объяснений, выводов; задания, требующие составления плана развёрнутого ответа по конкретной теме </w:t>
      </w:r>
      <w:r>
        <w:rPr>
          <w:rFonts w:ascii="Times New Roman" w:hAnsi="Times New Roman" w:cs="Times New Roman"/>
          <w:sz w:val="25"/>
          <w:szCs w:val="25"/>
        </w:rPr>
        <w:t>курса; задания – мини сочинения, нацеливающие учеников на написание мини-сочинения по одной из пяти предложенных тем.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 Последний вид заданий направлен на проверку широкого комплекса умений, например умения раскрывать смысл авторского суждения, привлекать изученные </w:t>
      </w:r>
      <w:proofErr w:type="gramStart"/>
      <w:r>
        <w:rPr>
          <w:rFonts w:ascii="Times New Roman" w:hAnsi="Times New Roman" w:cs="Times New Roman"/>
          <w:sz w:val="25"/>
          <w:szCs w:val="25"/>
        </w:rPr>
        <w:t>раннее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теоретические положения обществознания, самостоятельно формулировать и конкретизировать примерами свои рассуждения, делать выводы. </w:t>
      </w:r>
    </w:p>
    <w:p w:rsidR="001A162C" w:rsidRPr="004A6D97" w:rsidRDefault="001A162C" w:rsidP="001A1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А в</w:t>
      </w:r>
      <w:r w:rsidRPr="004A6D97">
        <w:rPr>
          <w:rFonts w:ascii="Times New Roman" w:hAnsi="Times New Roman" w:cs="Times New Roman"/>
          <w:sz w:val="25"/>
          <w:szCs w:val="25"/>
        </w:rPr>
        <w:t xml:space="preserve"> ходе текущего контроля знаний учеников по истории России нужно обязательно включать в оценочный материал задания по работе с историческими источниками, </w:t>
      </w:r>
      <w:r>
        <w:rPr>
          <w:rFonts w:ascii="Times New Roman" w:hAnsi="Times New Roman" w:cs="Times New Roman"/>
          <w:sz w:val="25"/>
          <w:szCs w:val="25"/>
        </w:rPr>
        <w:t xml:space="preserve">обратить </w:t>
      </w:r>
      <w:r>
        <w:rPr>
          <w:rFonts w:ascii="Times New Roman" w:hAnsi="Times New Roman" w:cs="Times New Roman"/>
          <w:sz w:val="25"/>
          <w:szCs w:val="25"/>
        </w:rPr>
        <w:lastRenderedPageBreak/>
        <w:t xml:space="preserve">особое </w:t>
      </w:r>
      <w:r w:rsidRPr="004A6D97">
        <w:rPr>
          <w:rFonts w:ascii="Times New Roman" w:hAnsi="Times New Roman" w:cs="Times New Roman"/>
          <w:sz w:val="25"/>
          <w:szCs w:val="25"/>
        </w:rPr>
        <w:t>внимание на развитие умений работать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4A6D97">
        <w:rPr>
          <w:rFonts w:ascii="Times New Roman" w:hAnsi="Times New Roman" w:cs="Times New Roman"/>
          <w:sz w:val="25"/>
          <w:szCs w:val="25"/>
        </w:rPr>
        <w:t>с истор</w:t>
      </w:r>
      <w:r>
        <w:rPr>
          <w:rFonts w:ascii="Times New Roman" w:hAnsi="Times New Roman" w:cs="Times New Roman"/>
          <w:sz w:val="25"/>
          <w:szCs w:val="25"/>
        </w:rPr>
        <w:t xml:space="preserve">ической картой (схемой), формулировать аргументы, а в рабочей программе </w:t>
      </w:r>
      <w:r w:rsidRPr="004A6D97">
        <w:rPr>
          <w:rFonts w:ascii="Times New Roman" w:hAnsi="Times New Roman" w:cs="Times New Roman"/>
          <w:sz w:val="25"/>
          <w:szCs w:val="25"/>
        </w:rPr>
        <w:t xml:space="preserve">предусмотреть </w:t>
      </w:r>
      <w:r>
        <w:rPr>
          <w:rFonts w:ascii="Times New Roman" w:hAnsi="Times New Roman" w:cs="Times New Roman"/>
          <w:sz w:val="25"/>
          <w:szCs w:val="25"/>
        </w:rPr>
        <w:t xml:space="preserve">в течение двух лет (10-11 классы) </w:t>
      </w:r>
      <w:r w:rsidRPr="004A6D97">
        <w:rPr>
          <w:rFonts w:ascii="Times New Roman" w:hAnsi="Times New Roman" w:cs="Times New Roman"/>
          <w:sz w:val="25"/>
          <w:szCs w:val="25"/>
        </w:rPr>
        <w:t>занятия практикумы по написанию исторического сочинения</w:t>
      </w:r>
      <w:proofErr w:type="gramEnd"/>
    </w:p>
    <w:p w:rsidR="001A162C" w:rsidRPr="004A6D97" w:rsidRDefault="001A162C" w:rsidP="001A16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A6D97">
        <w:rPr>
          <w:rFonts w:ascii="Times New Roman" w:hAnsi="Times New Roman" w:cs="Times New Roman"/>
          <w:sz w:val="25"/>
          <w:szCs w:val="25"/>
        </w:rPr>
        <w:t>4) Всех будущих участников ЕГЭ (ОГЭ) нужно учить внимательному отношению к требованиям заданий, учить вникать в суть формулировок (например, если в задании требуется привести факты, то именно фактов будет достаточно для выполнения, но если необходимо привести объяснения с опорой на факты, то одних фактов для выполнения этого задания не хватит).</w:t>
      </w:r>
      <w:r>
        <w:rPr>
          <w:rFonts w:ascii="Times New Roman" w:hAnsi="Times New Roman" w:cs="Times New Roman"/>
          <w:sz w:val="25"/>
          <w:szCs w:val="25"/>
        </w:rPr>
        <w:t xml:space="preserve"> Эта проблема берет свое начало на этапе ВПР в основной школе.</w:t>
      </w:r>
    </w:p>
    <w:p w:rsidR="004A23A3" w:rsidRDefault="004A23A3"/>
    <w:sectPr w:rsidR="004A23A3" w:rsidSect="001A162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62C"/>
    <w:rsid w:val="001A162C"/>
    <w:rsid w:val="004A23A3"/>
    <w:rsid w:val="004B6C88"/>
    <w:rsid w:val="0094464C"/>
    <w:rsid w:val="00A44659"/>
    <w:rsid w:val="00D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6</c:v>
                </c:pt>
                <c:pt idx="7">
                  <c:v>14</c:v>
                </c:pt>
                <c:pt idx="8">
                  <c:v>9</c:v>
                </c:pt>
                <c:pt idx="9">
                  <c:v>5</c:v>
                </c:pt>
              </c:numCache>
            </c:numRef>
          </c:val>
        </c:ser>
        <c:gapWidth val="219"/>
        <c:overlap val="-27"/>
        <c:axId val="92935680"/>
        <c:axId val="92937216"/>
      </c:barChart>
      <c:catAx>
        <c:axId val="92935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37216"/>
        <c:crosses val="autoZero"/>
        <c:auto val="1"/>
        <c:lblAlgn val="ctr"/>
        <c:lblOffset val="100"/>
      </c:catAx>
      <c:valAx>
        <c:axId val="92937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3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gapWidth val="219"/>
        <c:overlap val="-27"/>
        <c:axId val="106960384"/>
        <c:axId val="106971520"/>
      </c:barChart>
      <c:catAx>
        <c:axId val="106960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971520"/>
        <c:crosses val="autoZero"/>
        <c:auto val="1"/>
        <c:lblAlgn val="ctr"/>
        <c:lblOffset val="100"/>
      </c:catAx>
      <c:valAx>
        <c:axId val="106971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96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37</c:v>
                </c:pt>
                <c:pt idx="3">
                  <c:v>34</c:v>
                </c:pt>
              </c:numCache>
            </c:numRef>
          </c:val>
        </c:ser>
        <c:dLbls>
          <c:showVal val="1"/>
        </c:dLbls>
        <c:gapWidth val="219"/>
        <c:overlap val="-27"/>
        <c:axId val="110373504"/>
        <c:axId val="110399872"/>
      </c:barChart>
      <c:catAx>
        <c:axId val="110373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399872"/>
        <c:crosses val="autoZero"/>
        <c:auto val="1"/>
        <c:lblAlgn val="ctr"/>
        <c:lblOffset val="100"/>
      </c:catAx>
      <c:valAx>
        <c:axId val="110399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37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36</c:v>
                </c:pt>
                <c:pt idx="2">
                  <c:v>35</c:v>
                </c:pt>
                <c:pt idx="3">
                  <c:v>13</c:v>
                </c:pt>
              </c:numCache>
            </c:numRef>
          </c:val>
        </c:ser>
        <c:gapWidth val="219"/>
        <c:overlap val="-27"/>
        <c:axId val="110523136"/>
        <c:axId val="110524672"/>
      </c:barChart>
      <c:catAx>
        <c:axId val="110523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524672"/>
        <c:crosses val="autoZero"/>
        <c:auto val="1"/>
        <c:lblAlgn val="ctr"/>
        <c:lblOffset val="100"/>
      </c:catAx>
      <c:valAx>
        <c:axId val="110524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52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19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10822528"/>
        <c:axId val="110973312"/>
      </c:barChart>
      <c:catAx>
        <c:axId val="110822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73312"/>
        <c:crosses val="autoZero"/>
        <c:auto val="1"/>
        <c:lblAlgn val="ctr"/>
        <c:lblOffset val="100"/>
      </c:catAx>
      <c:valAx>
        <c:axId val="110973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82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114218880"/>
        <c:axId val="114220416"/>
      </c:barChart>
      <c:catAx>
        <c:axId val="114218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220416"/>
        <c:crosses val="autoZero"/>
        <c:auto val="1"/>
        <c:lblAlgn val="ctr"/>
        <c:lblOffset val="100"/>
      </c:catAx>
      <c:valAx>
        <c:axId val="114220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21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11323776"/>
        <c:axId val="111403392"/>
      </c:barChart>
      <c:catAx>
        <c:axId val="111323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403392"/>
        <c:crosses val="autoZero"/>
        <c:auto val="1"/>
        <c:lblAlgn val="ctr"/>
        <c:lblOffset val="100"/>
      </c:catAx>
      <c:valAx>
        <c:axId val="111403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32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28</c:v>
                </c:pt>
                <c:pt idx="2">
                  <c:v>24</c:v>
                </c:pt>
                <c:pt idx="3">
                  <c:v>6</c:v>
                </c:pt>
              </c:numCache>
            </c:numRef>
          </c:val>
        </c:ser>
        <c:dLbls>
          <c:showVal val="1"/>
        </c:dLbls>
        <c:gapWidth val="219"/>
        <c:overlap val="-27"/>
        <c:axId val="111529344"/>
        <c:axId val="111531136"/>
      </c:barChart>
      <c:catAx>
        <c:axId val="111529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31136"/>
        <c:crosses val="autoZero"/>
        <c:auto val="1"/>
        <c:lblAlgn val="ctr"/>
        <c:lblOffset val="100"/>
      </c:catAx>
      <c:valAx>
        <c:axId val="111531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2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11620480"/>
        <c:axId val="111622016"/>
      </c:barChart>
      <c:catAx>
        <c:axId val="111620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22016"/>
        <c:crosses val="autoZero"/>
        <c:auto val="1"/>
        <c:lblAlgn val="ctr"/>
        <c:lblOffset val="100"/>
      </c:catAx>
      <c:valAx>
        <c:axId val="111622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20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gapWidth val="219"/>
        <c:overlap val="-27"/>
        <c:axId val="111719552"/>
        <c:axId val="111721088"/>
      </c:barChart>
      <c:catAx>
        <c:axId val="111719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21088"/>
        <c:crosses val="autoZero"/>
        <c:auto val="1"/>
        <c:lblAlgn val="ctr"/>
        <c:lblOffset val="100"/>
      </c:catAx>
      <c:valAx>
        <c:axId val="111721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1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111355776"/>
        <c:axId val="111357312"/>
      </c:barChart>
      <c:catAx>
        <c:axId val="111355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357312"/>
        <c:crosses val="autoZero"/>
        <c:auto val="1"/>
        <c:lblAlgn val="ctr"/>
        <c:lblOffset val="100"/>
      </c:catAx>
      <c:valAx>
        <c:axId val="111357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35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92956544"/>
        <c:axId val="92985600"/>
      </c:barChart>
      <c:catAx>
        <c:axId val="92956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85600"/>
        <c:crosses val="autoZero"/>
        <c:auto val="1"/>
        <c:lblAlgn val="ctr"/>
        <c:lblOffset val="100"/>
      </c:catAx>
      <c:valAx>
        <c:axId val="929856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56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855521772649708"/>
          <c:y val="0.1341719077568134"/>
          <c:w val="0.83624126192146764"/>
          <c:h val="0.713222073655887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gapWidth val="219"/>
        <c:overlap val="-27"/>
        <c:axId val="111819392"/>
        <c:axId val="111821184"/>
      </c:barChart>
      <c:catAx>
        <c:axId val="111819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21184"/>
        <c:crosses val="autoZero"/>
        <c:auto val="1"/>
        <c:lblAlgn val="ctr"/>
        <c:lblOffset val="100"/>
      </c:catAx>
      <c:valAx>
        <c:axId val="111821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19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93083136"/>
        <c:axId val="93154304"/>
      </c:barChart>
      <c:catAx>
        <c:axId val="93083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54304"/>
        <c:crosses val="autoZero"/>
        <c:auto val="1"/>
        <c:lblAlgn val="ctr"/>
        <c:lblOffset val="100"/>
      </c:catAx>
      <c:valAx>
        <c:axId val="93154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8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Лист1!$A$2:$A$12</c:f>
              <c:strCache>
                <c:ptCount val="11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  <c:pt idx="10">
                  <c:v>100 баллов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97488896"/>
        <c:axId val="97497472"/>
      </c:barChart>
      <c:catAx>
        <c:axId val="97488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97472"/>
        <c:crosses val="autoZero"/>
        <c:auto val="1"/>
        <c:lblAlgn val="ctr"/>
        <c:lblOffset val="100"/>
      </c:catAx>
      <c:valAx>
        <c:axId val="97497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8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2828672"/>
        <c:axId val="103287040"/>
      </c:barChart>
      <c:catAx>
        <c:axId val="102828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87040"/>
        <c:crosses val="autoZero"/>
        <c:auto val="1"/>
        <c:lblAlgn val="ctr"/>
        <c:lblOffset val="100"/>
      </c:catAx>
      <c:valAx>
        <c:axId val="103287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82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103488896"/>
        <c:axId val="103617664"/>
      </c:barChart>
      <c:catAx>
        <c:axId val="103488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617664"/>
        <c:crosses val="autoZero"/>
        <c:auto val="1"/>
        <c:lblAlgn val="ctr"/>
        <c:lblOffset val="100"/>
      </c:catAx>
      <c:valAx>
        <c:axId val="103617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8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03912576"/>
        <c:axId val="104857984"/>
      </c:barChart>
      <c:catAx>
        <c:axId val="103912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857984"/>
        <c:crosses val="autoZero"/>
        <c:auto val="1"/>
        <c:lblAlgn val="ctr"/>
        <c:lblOffset val="100"/>
      </c:catAx>
      <c:valAx>
        <c:axId val="104857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1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gapWidth val="219"/>
        <c:overlap val="-27"/>
        <c:axId val="104973440"/>
        <c:axId val="105009152"/>
      </c:barChart>
      <c:catAx>
        <c:axId val="104973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009152"/>
        <c:crosses val="autoZero"/>
        <c:auto val="1"/>
        <c:lblAlgn val="ctr"/>
        <c:lblOffset val="100"/>
      </c:catAx>
      <c:valAx>
        <c:axId val="105009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7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06746240"/>
        <c:axId val="106748544"/>
      </c:barChart>
      <c:catAx>
        <c:axId val="106746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48544"/>
        <c:crosses val="autoZero"/>
        <c:auto val="1"/>
        <c:lblAlgn val="ctr"/>
        <c:lblOffset val="100"/>
      </c:catAx>
      <c:valAx>
        <c:axId val="106748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4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2020-12-15T06:31:00Z</dcterms:created>
  <dcterms:modified xsi:type="dcterms:W3CDTF">2020-12-15T06:36:00Z</dcterms:modified>
</cp:coreProperties>
</file>